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keepNext/>
        <w:widowControl/>
        <w:spacing w:after="120" w:before="120"/>
      </w:pPr>
      <w:r>
        <w:t xml:space="preserve">AVV-Anlagen A–C</w:t>
      </w:r>
    </w:p>
    <w:p>
      <w:pPr>
        <w:widowControl/>
        <w:spacing w:after="120" w:line="264"/>
      </w:pPr>
      <w:r>
        <w:t xml:space="preserve">Cloud Solution GmbH · Version 3.0 · 13. September 2026
Vorlage zum AVV Version 3.0. Vor Datenzugriff gemeinsam ausfüllen. Diese Anlagen beschreiben nachprüfbare Tatsachen und vereinbarte Massnahmen, keine ungeprüften Werbeversprechen.</w:t>
      </w:r>
    </w:p>
    <w:p>
      <w:pPr>
        <w:pStyle w:val="Heading1"/>
        <w:keepNext/>
        <w:widowControl/>
        <w:spacing w:after="120" w:before="260"/>
      </w:pPr>
      <w:r>
        <w:t xml:space="preserve">A. Bearbeitung, Kontakte und Daten</w:t>
      </w:r>
    </w:p>
    <w:p>
      <w:pPr>
        <w:widowControl/>
        <w:spacing w:after="120" w:line="264"/>
      </w:pPr>
      <w:r>
        <w:rPr>
          <w:color w:val="854D0E"/>
        </w:rPr>
        <w:t xml:space="preserve">Kunde / Anschrift: [PFLICHT]. AVV-Referenz und erfasste Aufträge: [PFLICHT]. Rolle Kunde: [Verantwortlicher / Auftragsbearbeiter für benannten Verantwortlichen mit dokumentierter Befugnis]. Beginn und voraussichtliche Dauer: [PFLICHT].
Weisungsberechtigte Personen und sichere Kanäle: [PFLICHT]. Datenschutz-/Vorfallkontakt Kunde mit Vertretung: [PFLICHT]. Kontakt Cloud Solution mit Vertretung und tatsächlichem Erreichbarkeitsverfahren: [PFLICHT].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12"/>
        <w:gridCol w:w="3212"/>
        <w:gridCol w:w="3214"/>
      </w:tblGrid>
      <w:tr>
        <w:trPr>
          <w:cantSplit/>
          <w:tblHeader/>
        </w:trPr>
        <w:tc>
          <w:tcPr>
            <w:tcW w:type="dxa" w:w="3212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EAF1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Gewähltes Modul</w:t>
            </w:r>
          </w:p>
        </w:tc>
        <w:tc>
          <w:tcPr>
            <w:tcW w:type="dxa" w:w="3212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EAF1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Zweck und Vorgänge</w:t>
            </w:r>
          </w:p>
        </w:tc>
        <w:tc>
          <w:tcPr>
            <w:tcW w:type="dxa" w:w="3214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EAF1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Daten / betroffene Personen</w:t>
            </w:r>
          </w:p>
        </w:tc>
      </w:tr>
      <w:tr>
        <w:trPr>
          <w:cantSplit/>
          <w:tblHeader w:val="false"/>
        </w:trPr>
        <w:tc>
          <w:tcPr>
            <w:tcW w:type="dxa" w:w="3212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Managed M365 [ja/nein]</w:t>
            </w:r>
          </w:p>
        </w:tc>
        <w:tc>
          <w:tcPr>
            <w:tcW w:type="dxa" w:w="3212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Tenant-Verwaltung, Berechtigungen, Sicherheits- und Supportanalyse gemäss Auftrag</w:t>
            </w:r>
          </w:p>
        </w:tc>
        <w:tc>
          <w:tcPr>
            <w:tcW w:type="dxa" w:w="3214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[Namen, Geschäftsadressen, Konten, Gruppen, Geräte-/Sign-in-Logs; Beschäftigte, Gäste; Inhaltszugriff nur soweit beauftragt erforderlich]</w:t>
            </w:r>
          </w:p>
        </w:tc>
      </w:tr>
      <w:tr>
        <w:trPr>
          <w:cantSplit/>
          <w:tblHeader w:val="false"/>
        </w:trPr>
        <w:tc>
          <w:tcPr>
            <w:tcW w:type="dxa" w:w="3212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Managed Azure [ja/nein]</w:t>
            </w:r>
          </w:p>
        </w:tc>
        <w:tc>
          <w:tcPr>
            <w:tcW w:type="dxa" w:w="3212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Betrieb ausgewählter Ressourcen und erforderliche Diagnose</w:t>
            </w:r>
          </w:p>
        </w:tc>
        <w:tc>
          <w:tcPr>
            <w:tcW w:type="dxa" w:w="3214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[Konten, IP-Adressen, Logs; Datenbank-/Anwendungsinhalte nur gemäss expliziter Leistung; Personengruppen ergänzen]</w:t>
            </w:r>
          </w:p>
        </w:tc>
      </w:tr>
      <w:tr>
        <w:trPr>
          <w:cantSplit/>
          <w:tblHeader w:val="false"/>
        </w:trPr>
        <w:tc>
          <w:tcPr>
            <w:tcW w:type="dxa" w:w="3212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M365-Backup [ja/nein]</w:t>
            </w:r>
          </w:p>
        </w:tc>
        <w:tc>
          <w:tcPr>
            <w:tcW w:type="dxa" w:w="3212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Kopieren, Speichern, Prüfen, Wiederherstellen und Löschen</w:t>
            </w:r>
          </w:p>
        </w:tc>
        <w:tc>
          <w:tcPr>
            <w:tcW w:type="dxa" w:w="3214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[vollständige ausgewählte Mail-/Dateiinhalte, Metadaten, Versionen; Beschäftigte, Kunden, Lieferanten und weitere Personen konkretisieren]</w:t>
            </w:r>
          </w:p>
        </w:tc>
      </w:tr>
      <w:tr>
        <w:trPr>
          <w:cantSplit/>
          <w:tblHeader w:val="false"/>
        </w:trPr>
        <w:tc>
          <w:tcPr>
            <w:tcW w:type="dxa" w:w="3212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Projekt/Support [ja/nein]</w:t>
            </w:r>
          </w:p>
        </w:tc>
        <w:tc>
          <w:tcPr>
            <w:tcW w:type="dxa" w:w="3212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[begrenzte Tätigkeit, Zeitraum, Testdaten, Exporte]</w:t>
            </w:r>
          </w:p>
        </w:tc>
        <w:tc>
          <w:tcPr>
            <w:tcW w:type="dxa" w:w="3214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[konkrete Daten und Gruppen]</w:t>
            </w:r>
          </w:p>
        </w:tc>
      </w:tr>
      <w:tr>
        <w:trPr>
          <w:cantSplit/>
          <w:tblHeader w:val="false"/>
        </w:trPr>
        <w:tc>
          <w:tcPr>
            <w:tcW w:type="dxa" w:w="3212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rPr>
                <w:color w:val="854D0E"/>
              </w:rPr>
              <w:t xml:space="preserve">Besonders schützenswerte Daten / Berufs- oder Amtsgeheimnisse / gesetzliche Einschränkungen: [PFLICHT: keine nach Prüfung oder genaue Kategorien, Schutzbedarf und Zulässigkeit]. Keine pauschale Annahme, dass Mails keine sensiblen Daten enthalten.</w:t>
            </w:r>
          </w:p>
        </w:tc>
        <w:tc>
          <w:tcPr>
            <w:tcW w:type="dxa" w:w="3212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/>
            </w:r>
          </w:p>
        </w:tc>
        <w:tc>
          <w:tcPr>
            <w:tcW w:type="dxa" w:w="3214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12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rPr>
                <w:color w:val="854D0E"/>
              </w:rPr>
              <w:t xml:space="preserve">Bearbeitung im Kunden-Tenant: [IDs/Regionen]. Zusätzliche Kopien in Tickets, Diagnoseexporten, Monitoring, KI-Werkzeugen: [PFLICHT: keine oder genaue Daten, Systeme, Zweck und Löschfrist]. Keine nicht freigegebenen Produktionsdaten in Entwicklung oder KI-Diensten.</w:t>
            </w:r>
          </w:p>
        </w:tc>
        <w:tc>
          <w:tcPr>
            <w:tcW w:type="dxa" w:w="3212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/>
            </w:r>
          </w:p>
        </w:tc>
        <w:tc>
          <w:tcPr>
            <w:tcW w:type="dxa" w:w="3214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12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rPr>
                <w:color w:val="854D0E"/>
              </w:rPr>
              <w:t xml:space="preserve">Aufbewahrung aktiver Daten, Logs, Supportkopien und Backups jeweils: [PFLICHT]. Ende: Rückgabeformat [___], Abruffrist [___], Löschung aktiver Kopien [___], spätester Ablauf von Sicherungen [___], Nachweis [___]. Gesetzlich erforderliche Restaufbewahrung mit Rechtsgrundlage: [keine / Angaben].</w:t>
            </w:r>
          </w:p>
        </w:tc>
        <w:tc>
          <w:tcPr>
            <w:tcW w:type="dxa" w:w="3212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/>
            </w:r>
          </w:p>
        </w:tc>
        <w:tc>
          <w:tcPr>
            <w:tcW w:type="dxa" w:w="3214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/>
            </w:r>
          </w:p>
        </w:tc>
      </w:tr>
    </w:tbl>
    <w:p>
      <w:pPr>
        <w:widowControl/>
        <w:spacing w:after="120" w:line="264"/>
      </w:pPr>
      <w:r>
        <w:t xml:space="preserve"/>
      </w:r>
    </w:p>
    <w:p>
      <w:pPr>
        <w:pStyle w:val="Heading1"/>
        <w:keepNext/>
        <w:widowControl/>
        <w:spacing w:after="120" w:before="260"/>
      </w:pPr>
      <w:r>
        <w:t xml:space="preserve">B. Technische und organisatorische Massnahmen</w:t>
      </w:r>
    </w:p>
    <w:p>
      <w:pPr>
        <w:widowControl/>
        <w:spacing w:after="120" w:line="264"/>
      </w:pPr>
      <w:r>
        <w:t xml:space="preserve">Jede Zeile als umgesetzt, konkret vereinbart bis Leistungsstart oder nicht anwendbar mit Begründung dokumentieren. Ein nicht erfüllter erforderlicher Schutz verhindert den Beginn der betroffenen Bearbeitung. Keine Zertifizierung, Georedundanz oder 24/7-Leistung ohne Beleg nennen.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/>
        </w:trPr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EAF1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Bereich</w:t>
            </w:r>
          </w:p>
        </w:tc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EAF1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Konkret zu vereinbaren und nachzuweisen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Administrative Identitäten</w:t>
            </w:r>
          </w:p>
        </w:tc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Personengebundene Zugänge, MFA-Verfahren, getrennte Admin-Konten, Rollenbegrenzung, Freigabe und Rezertifizierung: [Massnahme / Nachweis / Takt]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Endgeräte und Fernzugriff</w:t>
            </w:r>
          </w:p>
        </w:tc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Verwaltete Geräte, Verschlüsselung, Updates, Remote-Zugriffswege und Ausnahmeverfahren: [Angaben]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Mandantentrennung</w:t>
            </w:r>
          </w:p>
        </w:tc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Trennung von Repositories, Berechtigungen, Logs und Wiederherstellungszielen: [Angaben]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Verschlüsselung</w:t>
            </w:r>
          </w:p>
        </w:tc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Transport- und Speicherschutz, Schlüsselverwaltung und Wiederherstellung: [Angaben je Dienst]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Physische Sicherheit</w:t>
            </w:r>
          </w:p>
        </w:tc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Tatsächlicher Infrastrukturbetreiber, Zutrittskontrolle und Nachweis: [Angaben]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Sicherung und Wiederanlauf</w:t>
            </w:r>
          </w:p>
        </w:tc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Verweis auf beauftragtes Backup; Testverfahren und Wiederherstellbarkeit eigener erforderlicher Systeme: [Angaben]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Protokollierung</w:t>
            </w:r>
          </w:p>
        </w:tc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Ereignisse, Zugriff auf Logs, Integrität, Aufbewahrung, Prüfung; Art. 4 DSV in der Fassung vom 01.12.2025 nach Voraussetzungen prüfen; gegebenenfalls auch Zugriffe, getrennte Aufbewahrung mindestens ein Jahr und Zweckbindung: [Angaben]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Vorfälle</w:t>
            </w:r>
          </w:p>
        </w:tc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Erkennung, Eskalation, Vertretung, rasche Kundenmeldung, Nachweise: [Verfahren]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Änderungen und Schwachstellen</w:t>
            </w:r>
          </w:p>
        </w:tc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Freigabe, Patchpriorisierung, Konfiguration, Rückfallverfahren: [Verfahren]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Personal</w:t>
            </w:r>
          </w:p>
        </w:tc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Vertraulichkeit, Schulung, Eintritt/Austritt, Berechtigungsentzug: [Verfahren/Takt]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Löschen</w:t>
            </w:r>
          </w:p>
        </w:tc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Sichere Löschung, Medienentsorgung, Backup-Auslauf, Bestätigung: [Verfahren]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Kontrolle</w:t>
            </w:r>
          </w:p>
        </w:tc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5F7FA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>Wirksamkeitsprüfung, Risikobeurteilung, Massnahmenverfolgung: [Takt/Verantwortlicher]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rPr>
                <w:color w:val="854D0E"/>
              </w:rPr>
              <w:t xml:space="preserve">Kundenseitige Voraussetzungen und dokumentierte Restzuständigkeiten: [PFLICHT]. Änderungen an Schutzmassnahmen nach AVV Ziffer 5.</w:t>
            </w:r>
          </w:p>
        </w:tc>
        <w:tc>
          <w:tcPr>
            <w:tcW w:type="dxa" w:w="4819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FFFFF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widowControl/>
              <w:spacing w:after="20" w:line="240"/>
            </w:pPr>
            <w:r>
              <w:t xml:space="preserve"/>
            </w:r>
          </w:p>
        </w:tc>
      </w:tr>
    </w:tbl>
    <w:p>
      <w:pPr>
        <w:widowControl/>
        <w:spacing w:after="120" w:line="264"/>
      </w:pPr>
      <w:r>
        <w:t xml:space="preserve"/>
      </w:r>
    </w:p>
    <w:p>
      <w:pPr>
        <w:pStyle w:val="Heading1"/>
        <w:keepNext/>
        <w:widowControl/>
        <w:spacing w:after="120" w:before="260"/>
      </w:pPr>
      <w:r>
        <w:t xml:space="preserve">C. Unterauftragsbearbeiter, Drittrollen und Länder</w:t>
      </w:r>
    </w:p>
    <w:p>
      <w:pPr>
        <w:widowControl/>
        <w:spacing w:after="120" w:line="264"/>
      </w:pPr>
      <w:r>
        <w:rPr>
          <w:color w:val="854D0E"/>
        </w:rPr>
        <w:t xml:space="preserve">Vor Vertragsabschluss vollständige Liste erstellen. Keine pauschale Liste sämtlicher Softwarelieferanten. Eigene Infrastruktur kann trotzdem Rechenzentrums-, Fernwartungs- oder Software-Supportanbieter mit Datenzugriff einschliessen.
Für jeden Unterauftragsbearbeiter eine Zeile bzw. einen Eintrag mit: vollständige juristische Firma/Adresse; konkrete Leistung; betroffene Daten; Speicherländer; Support-/Zugriffsländer; Rechtsgrundlage der Auslandübermittlung; Vertrags-/DPA-Nachweis; Genehmigungsdatum. Einzutragen: [PFLICHT: vollständige Liste oder ausdrücklich keine nach dokumentierter Prüfung].
Direkt vom Kunden beauftragte Anbieter separat erfassen: [Microsoft-Vertragsgesellschaft, Vertragsreferenz, tatsächliche Rolle, direkt bezogene Dienste; weitere]. Ein Lizenz-Reseller oder Distributor ist je Datenfluss einzuordnen, nicht automatisch pauschal auszunehmen oder als Unterauftragsbearbeiter zu bezeichnen.
SCC oder sonstige Garantien: [Referenz und Datum / nicht erforderlich mit Begründung]. DPF, falls genutzt: [konkreter US-Empfänger, aktive Swiss-U.S.-Zertifizierung, Datenabdeckung, Prüfdatum]. Der Speicherort «Schweiz» allein beantwortet die Auslandfrage nicht.
Anlagen freigegeben am [Datum], durch Kunde [Name/Funktion] und Cloud Solution [Name/Funktion]. Offene Punkte: [keine vor Betriebsstart / betroffene Bearbeitung gesperrt bis Erledigung].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5B6B80"/>
        <w:sz w:val="16"/>
        <w:szCs w:val="16"/>
      </w:rPr>
      <w:t xml:space="preserve">Cloud Solution GmbH · 13.09.2026   |   </w:t>
    </w:r>
    <w:r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sz w:val="16"/>
        <w:szCs w:val="16"/>
      </w:rPr>
      <w:t xml:space="preserve"> / </w:t>
    </w:r>
    <w:r>
      <w:rPr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78D4" w:sz="12" w:space="8"/>
      </w:pBdr>
    </w:pPr>
    <w:r>
      <w:rPr>
        <w:b/>
        <w:bCs/>
        <w:color w:val="0078D4"/>
        <w:sz w:val="18"/>
        <w:szCs w:val="18"/>
      </w:rPr>
      <w:t xml:space="preserve">CLOUD SOLUTION</w:t>
    </w:r>
    <w:r>
      <w:rPr>
        <w:color w:val="5B6B80"/>
        <w:sz w:val="16"/>
        <w:szCs w:val="16"/>
      </w:rPr>
      <w:t xml:space="preserve">   /   VERTRAGSWERK 3.0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26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33249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rPr>
      <w:rFonts w:ascii="Arial" w:cs="Arial" w:eastAsia="Arial" w:hAnsi="Arial"/>
      <w:b/>
      <w:bCs/>
      <w:color w:val="172A43"/>
      <w:sz w:val="38"/>
      <w:szCs w:val="3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cs="Arial" w:eastAsia="Arial" w:hAnsi="Arial"/>
      <w:b/>
      <w:bCs/>
      <w:color w:val="172A43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AVV-Anlagen A–C</dc:title>
  <dc:creator>Cloud Solution GmbH</dc:creator>
  <dc:description>Vertragswerk 3.0 | 13. September 2026</dc:description>
  <cp:lastModifiedBy>Un-named</cp:lastModifiedBy>
  <cp:revision>1</cp:revision>
  <dcterms:created xsi:type="dcterms:W3CDTF">2026-09-13T15:04:22.644Z</dcterms:created>
  <dcterms:modified xsi:type="dcterms:W3CDTF">2026-09-13T15:04:22.644Z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